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E06" w:rsidRDefault="00D67E06" w:rsidP="0059654F">
      <w:pPr>
        <w:spacing w:before="100" w:beforeAutospacing="1" w:after="100" w:afterAutospacing="1" w:line="240" w:lineRule="auto"/>
        <w:rPr>
          <w:rFonts w:ascii="Times New Roman" w:eastAsia="Times New Roman" w:hAnsi="Times New Roman" w:cs="Times New Roman"/>
          <w:b/>
          <w:bCs/>
          <w:sz w:val="28"/>
          <w:szCs w:val="28"/>
          <w:lang w:eastAsia="ru-RU"/>
        </w:rPr>
      </w:pPr>
    </w:p>
    <w:p w:rsidR="00D67E06" w:rsidRDefault="00D67E06" w:rsidP="00D67E06">
      <w:pPr>
        <w:spacing w:after="0" w:line="240" w:lineRule="auto"/>
        <w:rPr>
          <w:rFonts w:ascii="Times New Roman" w:eastAsia="Times New Roman" w:hAnsi="Times New Roman" w:cs="Times New Roman"/>
          <w:sz w:val="24"/>
          <w:szCs w:val="24"/>
          <w:lang w:eastAsia="ru-RU"/>
        </w:rPr>
      </w:pPr>
    </w:p>
    <w:p w:rsidR="00D67E06" w:rsidRDefault="00D67E06" w:rsidP="00D67E0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Муниципальное бюджетное  учреждение  дополнительного образования</w:t>
      </w:r>
    </w:p>
    <w:p w:rsidR="00D67E06" w:rsidRDefault="00D67E06" w:rsidP="00D67E0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«КАДОШКИНСКАЯ ШКОЛА ИСКУССТВ»</w:t>
      </w:r>
    </w:p>
    <w:p w:rsidR="00D67E06" w:rsidRDefault="00D67E06" w:rsidP="00D67E06">
      <w:pPr>
        <w:spacing w:after="0" w:line="240" w:lineRule="auto"/>
        <w:jc w:val="center"/>
        <w:rPr>
          <w:rFonts w:ascii="Times New Roman" w:eastAsia="Times New Roman" w:hAnsi="Times New Roman" w:cs="Times New Roman"/>
          <w:b/>
          <w:sz w:val="24"/>
          <w:szCs w:val="24"/>
          <w:lang w:eastAsia="ru-RU"/>
        </w:rPr>
      </w:pPr>
    </w:p>
    <w:p w:rsidR="00D67E06" w:rsidRDefault="00D67E06" w:rsidP="00D67E06">
      <w:pPr>
        <w:spacing w:after="0" w:line="240" w:lineRule="auto"/>
        <w:rPr>
          <w:rFonts w:ascii="Times New Roman" w:eastAsia="Times New Roman" w:hAnsi="Times New Roman" w:cs="Times New Roman"/>
          <w:sz w:val="24"/>
          <w:szCs w:val="24"/>
          <w:lang w:eastAsia="ru-RU"/>
        </w:rPr>
      </w:pPr>
    </w:p>
    <w:p w:rsidR="00D67E06" w:rsidRDefault="00D67E06" w:rsidP="00D67E06">
      <w:pPr>
        <w:spacing w:after="0" w:line="240" w:lineRule="auto"/>
        <w:rPr>
          <w:rFonts w:ascii="Times New Roman" w:eastAsia="Times New Roman" w:hAnsi="Times New Roman" w:cs="Times New Roman"/>
          <w:sz w:val="24"/>
          <w:szCs w:val="24"/>
          <w:lang w:eastAsia="ru-RU"/>
        </w:rPr>
      </w:pPr>
    </w:p>
    <w:p w:rsidR="00D67E06" w:rsidRDefault="00D67E06" w:rsidP="00D67E06">
      <w:pPr>
        <w:spacing w:after="0" w:line="240" w:lineRule="auto"/>
        <w:rPr>
          <w:rFonts w:ascii="Times New Roman" w:eastAsia="Times New Roman" w:hAnsi="Times New Roman" w:cs="Times New Roman"/>
          <w:sz w:val="24"/>
          <w:szCs w:val="24"/>
          <w:lang w:eastAsia="ru-RU"/>
        </w:rPr>
      </w:pPr>
    </w:p>
    <w:p w:rsidR="00D67E06" w:rsidRDefault="00D67E06" w:rsidP="00D67E06">
      <w:pPr>
        <w:spacing w:after="0" w:line="240" w:lineRule="auto"/>
        <w:rPr>
          <w:rFonts w:ascii="Times New Roman" w:eastAsia="Times New Roman" w:hAnsi="Times New Roman" w:cs="Times New Roman"/>
          <w:sz w:val="24"/>
          <w:szCs w:val="24"/>
          <w:lang w:eastAsia="ru-RU"/>
        </w:rPr>
      </w:pPr>
    </w:p>
    <w:p w:rsidR="00D67E06" w:rsidRDefault="00D67E06" w:rsidP="00D67E06">
      <w:pPr>
        <w:spacing w:after="0" w:line="240" w:lineRule="auto"/>
        <w:rPr>
          <w:rFonts w:ascii="Times New Roman" w:eastAsia="Times New Roman" w:hAnsi="Times New Roman" w:cs="Times New Roman"/>
          <w:sz w:val="24"/>
          <w:szCs w:val="24"/>
          <w:lang w:eastAsia="ru-RU"/>
        </w:rPr>
      </w:pPr>
    </w:p>
    <w:p w:rsidR="00D67E06" w:rsidRDefault="00D67E06" w:rsidP="00D67E06">
      <w:pPr>
        <w:spacing w:after="0" w:line="240" w:lineRule="auto"/>
        <w:rPr>
          <w:rFonts w:ascii="Times New Roman" w:eastAsia="Times New Roman" w:hAnsi="Times New Roman" w:cs="Times New Roman"/>
          <w:sz w:val="24"/>
          <w:szCs w:val="24"/>
          <w:lang w:eastAsia="ru-RU"/>
        </w:rPr>
      </w:pPr>
    </w:p>
    <w:p w:rsidR="00D67E06" w:rsidRDefault="00D67E06" w:rsidP="00D67E0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p w:rsidR="00D67E06" w:rsidRDefault="00D67E06" w:rsidP="00D67E06">
      <w:pPr>
        <w:spacing w:after="0" w:line="240" w:lineRule="auto"/>
        <w:jc w:val="center"/>
        <w:rPr>
          <w:rFonts w:ascii="Times New Roman" w:eastAsia="Times New Roman" w:hAnsi="Times New Roman" w:cs="Times New Roman"/>
          <w:b/>
          <w:bCs/>
          <w:color w:val="000000"/>
          <w:sz w:val="56"/>
          <w:szCs w:val="56"/>
          <w:lang w:eastAsia="ru-RU"/>
        </w:rPr>
      </w:pPr>
      <w:r>
        <w:rPr>
          <w:rFonts w:ascii="Times New Roman" w:eastAsia="Times New Roman" w:hAnsi="Times New Roman" w:cs="Times New Roman"/>
          <w:b/>
          <w:bCs/>
          <w:color w:val="000000"/>
          <w:sz w:val="56"/>
          <w:szCs w:val="56"/>
          <w:lang w:eastAsia="ru-RU"/>
        </w:rPr>
        <w:t xml:space="preserve">ДОКЛАД </w:t>
      </w:r>
    </w:p>
    <w:p w:rsidR="00D67E06" w:rsidRDefault="00D67E06" w:rsidP="00D67E06">
      <w:pPr>
        <w:spacing w:after="0" w:line="240" w:lineRule="auto"/>
        <w:jc w:val="center"/>
        <w:rPr>
          <w:rFonts w:ascii="Times New Roman" w:eastAsia="Times New Roman" w:hAnsi="Times New Roman" w:cs="Times New Roman"/>
          <w:b/>
          <w:bCs/>
          <w:color w:val="000000"/>
          <w:sz w:val="56"/>
          <w:szCs w:val="56"/>
          <w:lang w:eastAsia="ru-RU"/>
        </w:rPr>
      </w:pPr>
      <w:r>
        <w:rPr>
          <w:rFonts w:ascii="Times New Roman" w:eastAsia="Times New Roman" w:hAnsi="Times New Roman" w:cs="Times New Roman"/>
          <w:b/>
          <w:bCs/>
          <w:color w:val="000000"/>
          <w:sz w:val="56"/>
          <w:szCs w:val="56"/>
          <w:lang w:eastAsia="ru-RU"/>
        </w:rPr>
        <w:t>на тему:</w:t>
      </w:r>
    </w:p>
    <w:p w:rsidR="00D67E06" w:rsidRPr="00692C2F" w:rsidRDefault="00D67E06" w:rsidP="00D67E06">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56"/>
          <w:szCs w:val="56"/>
          <w:lang w:eastAsia="ru-RU"/>
        </w:rPr>
        <w:t>«</w:t>
      </w:r>
      <w:r w:rsidRPr="00D67E06">
        <w:rPr>
          <w:rFonts w:ascii="Monotype Corsiva" w:eastAsia="Times New Roman" w:hAnsi="Monotype Corsiva" w:cs="Times New Roman"/>
          <w:b/>
          <w:bCs/>
          <w:sz w:val="56"/>
          <w:szCs w:val="56"/>
          <w:lang w:eastAsia="ru-RU"/>
        </w:rPr>
        <w:t>Художественные и технические задачи музыкального произведения</w:t>
      </w:r>
      <w:r>
        <w:rPr>
          <w:rFonts w:ascii="Monotype Corsiva" w:eastAsia="Times New Roman" w:hAnsi="Monotype Corsiva" w:cs="Times New Roman"/>
          <w:b/>
          <w:bCs/>
          <w:sz w:val="56"/>
          <w:szCs w:val="56"/>
          <w:lang w:eastAsia="ru-RU"/>
        </w:rPr>
        <w:t>».</w:t>
      </w:r>
    </w:p>
    <w:p w:rsidR="00D67E06" w:rsidRDefault="00D67E06" w:rsidP="00D67E06">
      <w:pPr>
        <w:spacing w:after="0" w:line="240" w:lineRule="auto"/>
        <w:jc w:val="center"/>
        <w:rPr>
          <w:rFonts w:ascii="Times New Roman" w:eastAsia="Times New Roman" w:hAnsi="Times New Roman" w:cs="Times New Roman"/>
          <w:b/>
          <w:bCs/>
          <w:color w:val="000000"/>
          <w:sz w:val="56"/>
          <w:szCs w:val="56"/>
          <w:lang w:eastAsia="ru-RU"/>
        </w:rPr>
      </w:pPr>
    </w:p>
    <w:p w:rsidR="00D67E06" w:rsidRDefault="00D67E06" w:rsidP="00D67E06">
      <w:pPr>
        <w:spacing w:after="0" w:line="240" w:lineRule="auto"/>
        <w:jc w:val="center"/>
        <w:rPr>
          <w:rFonts w:ascii="Times New Roman" w:eastAsia="Times New Roman" w:hAnsi="Times New Roman" w:cs="Times New Roman"/>
          <w:b/>
          <w:bCs/>
          <w:color w:val="000000"/>
          <w:sz w:val="56"/>
          <w:szCs w:val="56"/>
          <w:lang w:eastAsia="ru-RU"/>
        </w:rPr>
      </w:pPr>
    </w:p>
    <w:p w:rsidR="00D67E06" w:rsidRDefault="00D67E06" w:rsidP="00D67E06">
      <w:pPr>
        <w:spacing w:after="0" w:line="240" w:lineRule="auto"/>
        <w:rPr>
          <w:rFonts w:ascii="Times New Roman" w:eastAsia="Times New Roman" w:hAnsi="Times New Roman" w:cs="Times New Roman"/>
          <w:b/>
          <w:bCs/>
          <w:color w:val="000000"/>
          <w:sz w:val="56"/>
          <w:szCs w:val="56"/>
          <w:lang w:eastAsia="ru-RU"/>
        </w:rPr>
      </w:pPr>
    </w:p>
    <w:p w:rsidR="00D67E06" w:rsidRDefault="00D67E06" w:rsidP="00D67E06">
      <w:pPr>
        <w:spacing w:after="0" w:line="240" w:lineRule="auto"/>
        <w:jc w:val="center"/>
        <w:rPr>
          <w:rFonts w:ascii="Times New Roman" w:eastAsia="Times New Roman" w:hAnsi="Times New Roman" w:cs="Times New Roman"/>
          <w:b/>
          <w:bCs/>
          <w:color w:val="000000"/>
          <w:sz w:val="56"/>
          <w:szCs w:val="56"/>
          <w:lang w:eastAsia="ru-RU"/>
        </w:rPr>
      </w:pPr>
    </w:p>
    <w:p w:rsidR="00D67E06" w:rsidRDefault="00D67E06" w:rsidP="00D67E06">
      <w:pPr>
        <w:spacing w:after="0" w:line="240" w:lineRule="auto"/>
        <w:jc w:val="center"/>
        <w:rPr>
          <w:rFonts w:ascii="Calibri" w:eastAsia="Times New Roman" w:hAnsi="Calibri" w:cs="Calibri"/>
          <w:color w:val="000000"/>
          <w:lang w:eastAsia="ru-RU"/>
        </w:rPr>
      </w:pPr>
    </w:p>
    <w:p w:rsidR="00D67E06" w:rsidRDefault="00D67E06" w:rsidP="00D67E06">
      <w:pPr>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b/>
          <w:bCs/>
          <w:color w:val="000000"/>
          <w:sz w:val="36"/>
          <w:szCs w:val="36"/>
          <w:lang w:eastAsia="ru-RU"/>
        </w:rPr>
        <w:t>Подготовила:</w:t>
      </w:r>
    </w:p>
    <w:p w:rsidR="00D67E06" w:rsidRDefault="00D67E06" w:rsidP="00D67E06">
      <w:pPr>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b/>
          <w:bCs/>
          <w:color w:val="000000"/>
          <w:sz w:val="36"/>
          <w:szCs w:val="36"/>
          <w:lang w:eastAsia="ru-RU"/>
        </w:rPr>
        <w:t xml:space="preserve"> Терехина  Л.В.</w:t>
      </w:r>
    </w:p>
    <w:p w:rsidR="00D67E06" w:rsidRDefault="00D67E06" w:rsidP="00D67E06">
      <w:pPr>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b/>
          <w:bCs/>
          <w:color w:val="000000"/>
          <w:sz w:val="36"/>
          <w:szCs w:val="36"/>
          <w:lang w:eastAsia="ru-RU"/>
        </w:rPr>
        <w:t>преподаватель</w:t>
      </w:r>
    </w:p>
    <w:p w:rsidR="00D67E06" w:rsidRDefault="00D67E06" w:rsidP="00D67E06">
      <w:pPr>
        <w:spacing w:after="0" w:line="240" w:lineRule="auto"/>
        <w:jc w:val="right"/>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по классу фортепиано</w:t>
      </w:r>
    </w:p>
    <w:p w:rsidR="00D67E06" w:rsidRDefault="00D67E06" w:rsidP="00D67E06">
      <w:pPr>
        <w:spacing w:after="0" w:line="240" w:lineRule="auto"/>
        <w:jc w:val="right"/>
        <w:rPr>
          <w:rFonts w:ascii="Times New Roman" w:eastAsia="Times New Roman" w:hAnsi="Times New Roman" w:cs="Times New Roman"/>
          <w:b/>
          <w:bCs/>
          <w:color w:val="000000"/>
          <w:sz w:val="36"/>
          <w:szCs w:val="36"/>
          <w:lang w:eastAsia="ru-RU"/>
        </w:rPr>
      </w:pPr>
    </w:p>
    <w:p w:rsidR="00D67E06" w:rsidRDefault="00D67E06" w:rsidP="00D67E06">
      <w:pPr>
        <w:spacing w:after="0" w:line="240" w:lineRule="auto"/>
        <w:jc w:val="right"/>
        <w:rPr>
          <w:rFonts w:ascii="Times New Roman" w:eastAsia="Times New Roman" w:hAnsi="Times New Roman" w:cs="Times New Roman"/>
          <w:b/>
          <w:bCs/>
          <w:color w:val="000000"/>
          <w:sz w:val="36"/>
          <w:szCs w:val="36"/>
          <w:lang w:eastAsia="ru-RU"/>
        </w:rPr>
      </w:pPr>
    </w:p>
    <w:p w:rsidR="00D67E06" w:rsidRDefault="00D67E06" w:rsidP="00D67E06">
      <w:pPr>
        <w:spacing w:after="0" w:line="240" w:lineRule="auto"/>
        <w:jc w:val="right"/>
        <w:rPr>
          <w:rFonts w:ascii="Times New Roman" w:eastAsia="Times New Roman" w:hAnsi="Times New Roman" w:cs="Times New Roman"/>
          <w:b/>
          <w:bCs/>
          <w:color w:val="000000"/>
          <w:sz w:val="36"/>
          <w:szCs w:val="36"/>
          <w:lang w:eastAsia="ru-RU"/>
        </w:rPr>
      </w:pPr>
    </w:p>
    <w:p w:rsidR="00D67E06" w:rsidRDefault="00D67E06" w:rsidP="00D67E06">
      <w:pPr>
        <w:spacing w:after="0" w:line="240" w:lineRule="auto"/>
        <w:jc w:val="right"/>
        <w:rPr>
          <w:rFonts w:ascii="Times New Roman" w:eastAsia="Times New Roman" w:hAnsi="Times New Roman" w:cs="Times New Roman"/>
          <w:b/>
          <w:bCs/>
          <w:color w:val="000000"/>
          <w:sz w:val="36"/>
          <w:szCs w:val="36"/>
          <w:lang w:eastAsia="ru-RU"/>
        </w:rPr>
      </w:pPr>
    </w:p>
    <w:p w:rsidR="00D67E06" w:rsidRDefault="00D67E06" w:rsidP="00D67E06">
      <w:pPr>
        <w:spacing w:after="0" w:line="240" w:lineRule="auto"/>
        <w:jc w:val="right"/>
        <w:rPr>
          <w:rFonts w:ascii="Times New Roman" w:eastAsia="Times New Roman" w:hAnsi="Times New Roman" w:cs="Times New Roman"/>
          <w:b/>
          <w:bCs/>
          <w:color w:val="000000"/>
          <w:sz w:val="36"/>
          <w:szCs w:val="36"/>
          <w:lang w:eastAsia="ru-RU"/>
        </w:rPr>
      </w:pPr>
    </w:p>
    <w:p w:rsidR="00D67E06" w:rsidRDefault="00D67E06" w:rsidP="00D67E06">
      <w:pPr>
        <w:spacing w:after="0" w:line="240" w:lineRule="auto"/>
        <w:jc w:val="right"/>
        <w:rPr>
          <w:rFonts w:ascii="Times New Roman" w:eastAsia="Times New Roman" w:hAnsi="Times New Roman" w:cs="Times New Roman"/>
          <w:b/>
          <w:bCs/>
          <w:color w:val="000000"/>
          <w:sz w:val="36"/>
          <w:szCs w:val="36"/>
          <w:lang w:eastAsia="ru-RU"/>
        </w:rPr>
      </w:pPr>
    </w:p>
    <w:p w:rsidR="00D67E06" w:rsidRDefault="00D67E06" w:rsidP="00D67E06">
      <w:pPr>
        <w:spacing w:after="0" w:line="240" w:lineRule="auto"/>
        <w:jc w:val="right"/>
        <w:rPr>
          <w:rFonts w:ascii="Calibri" w:eastAsia="Times New Roman" w:hAnsi="Calibri" w:cs="Calibri"/>
          <w:color w:val="000000"/>
          <w:lang w:eastAsia="ru-RU"/>
        </w:rPr>
      </w:pPr>
    </w:p>
    <w:p w:rsidR="00D67E06" w:rsidRPr="00D67E06" w:rsidRDefault="00D67E06" w:rsidP="00D67E06">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п. </w:t>
      </w:r>
      <w:proofErr w:type="spellStart"/>
      <w:r>
        <w:rPr>
          <w:rFonts w:ascii="Times New Roman" w:eastAsia="Times New Roman" w:hAnsi="Times New Roman" w:cs="Times New Roman"/>
          <w:b/>
          <w:bCs/>
          <w:color w:val="000000"/>
          <w:sz w:val="28"/>
          <w:szCs w:val="28"/>
          <w:lang w:eastAsia="ru-RU"/>
        </w:rPr>
        <w:t>Кадошкино</w:t>
      </w:r>
      <w:proofErr w:type="spellEnd"/>
      <w:r>
        <w:rPr>
          <w:rFonts w:ascii="Times New Roman" w:eastAsia="Times New Roman" w:hAnsi="Times New Roman" w:cs="Times New Roman"/>
          <w:b/>
          <w:bCs/>
          <w:color w:val="000000"/>
          <w:sz w:val="28"/>
          <w:szCs w:val="28"/>
          <w:lang w:eastAsia="ru-RU"/>
        </w:rPr>
        <w:t xml:space="preserve"> 2017г.</w:t>
      </w:r>
    </w:p>
    <w:p w:rsidR="00D67E06" w:rsidRDefault="00D67E06" w:rsidP="0059654F">
      <w:pPr>
        <w:spacing w:before="100" w:beforeAutospacing="1" w:after="100" w:afterAutospacing="1" w:line="240" w:lineRule="auto"/>
        <w:rPr>
          <w:rFonts w:ascii="Times New Roman" w:eastAsia="Times New Roman" w:hAnsi="Times New Roman" w:cs="Times New Roman"/>
          <w:b/>
          <w:bCs/>
          <w:sz w:val="28"/>
          <w:szCs w:val="28"/>
          <w:lang w:eastAsia="ru-RU"/>
        </w:rPr>
      </w:pPr>
    </w:p>
    <w:p w:rsidR="00D67E06" w:rsidRDefault="00D67E06" w:rsidP="0059654F">
      <w:pPr>
        <w:spacing w:before="100" w:beforeAutospacing="1" w:after="100" w:afterAutospacing="1" w:line="240" w:lineRule="auto"/>
        <w:rPr>
          <w:rFonts w:ascii="Times New Roman" w:eastAsia="Times New Roman" w:hAnsi="Times New Roman" w:cs="Times New Roman"/>
          <w:b/>
          <w:bCs/>
          <w:sz w:val="28"/>
          <w:szCs w:val="28"/>
          <w:lang w:eastAsia="ru-RU"/>
        </w:rPr>
      </w:pP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lastRenderedPageBreak/>
        <w:t>Музыкальное произведение как художественная целостность, этапы и методы его освоения – является одной из важнейших проблем музык</w:t>
      </w:r>
      <w:r>
        <w:rPr>
          <w:rFonts w:ascii="Times New Roman" w:eastAsia="Times New Roman" w:hAnsi="Times New Roman" w:cs="Times New Roman"/>
          <w:sz w:val="28"/>
          <w:szCs w:val="28"/>
          <w:lang w:eastAsia="ru-RU"/>
        </w:rPr>
        <w:t xml:space="preserve">альной педагогики. </w:t>
      </w:r>
      <w:r w:rsidRPr="00692C2F">
        <w:rPr>
          <w:rFonts w:ascii="Times New Roman" w:eastAsia="Times New Roman" w:hAnsi="Times New Roman" w:cs="Times New Roman"/>
          <w:sz w:val="28"/>
          <w:szCs w:val="28"/>
          <w:lang w:eastAsia="ru-RU"/>
        </w:rPr>
        <w:t xml:space="preserve"> В традиционной педагогике процесс освоения музыкального произведения подразделяется на три этапа. У К. Черни эти этапы именуются «разбором, техническим освоением, художественной отделкой». Г. Гинзбург называет их так: «зарождение образа, элементарная работа, приспособление». Для А. </w:t>
      </w:r>
      <w:proofErr w:type="spellStart"/>
      <w:r w:rsidRPr="00692C2F">
        <w:rPr>
          <w:rFonts w:ascii="Times New Roman" w:eastAsia="Times New Roman" w:hAnsi="Times New Roman" w:cs="Times New Roman"/>
          <w:sz w:val="28"/>
          <w:szCs w:val="28"/>
          <w:lang w:eastAsia="ru-RU"/>
        </w:rPr>
        <w:t>Вицинского</w:t>
      </w:r>
      <w:proofErr w:type="spellEnd"/>
      <w:r w:rsidRPr="00692C2F">
        <w:rPr>
          <w:rFonts w:ascii="Times New Roman" w:eastAsia="Times New Roman" w:hAnsi="Times New Roman" w:cs="Times New Roman"/>
          <w:sz w:val="28"/>
          <w:szCs w:val="28"/>
          <w:lang w:eastAsia="ru-RU"/>
        </w:rPr>
        <w:t xml:space="preserve"> это: «первоначальное формирование музыкального образа, техническое овладение произведением, исполнительская реализация музыкального образа». Некоторые представители современной фортепианной педагогики подразделяют процесс работы на четыре этапа, в частности А. П. Щапов характеризует их как «начальный, ранний, серединный, поздний серединный, заключительный».</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Цель данных рекомендаций – систематизировать методы и способы работы, актуальные при разборе, разучивании и окончательном художественном оформлении музыкальной пьесы, заострить внимание педагога на важности каждого этапа изучения музыкального произведения.</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Задачи при работе над произведением: грамотный анализ нотного текста, подбор правильных методов работы для воплощения технических и художественных задач, а также, воспитание архитектонического чувства - умение охватить композицию произведения и определить место и роль каждого элемента в стройном целом.</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Опираясь на данные методической литературы, в этих рекомендациях указана систематическая последовательность работы над произведением, разнообразие способов и методов для конкретной задачи музыкальной композиции. Данная работа предназначена для педагогов ДМШ, которые только начинают свою музыкальную педагогическую деятельность.</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b/>
          <w:bCs/>
          <w:sz w:val="28"/>
          <w:szCs w:val="28"/>
          <w:lang w:eastAsia="ru-RU"/>
        </w:rPr>
        <w:t>2.Основные этапы и методы работы над музыкальным произведением</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b/>
          <w:bCs/>
          <w:sz w:val="28"/>
          <w:szCs w:val="28"/>
          <w:lang w:eastAsia="ru-RU"/>
        </w:rPr>
        <w:t>2.1 Ознакомление с произведением</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В начале работы преподавателю следует побеседовать с учеником о создателе произведения; об эпохе, в которой оно возникло; о стиле и требуемой манере исполнения. Далее следует проанализировать произведение более подробно: охарактеризовать образный строй, выявить сюжетную линию, если произведение программно, рассмотреть элементы музыкального языка, в том числе обратить внимание на единство или разнообразие темпов, что, как правило, обусловлено художественным содержанием произведения. Задача преподавателя построить с учеником живую интересную беседу, сопровождая и подтверждая те или иные выводы своим исполнением произведения (целиком и фрагментами). Учащимся старших классов можно порекомендовать для чтения специальную литературу о композиторе или произведении, над которым идет работа.</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По окончании беседы преподаватель может поставить перед учащимся следующие задачи:</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описать собственное эмоциональное впечатление, охарактеризовать художественное содержание произведения;</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lastRenderedPageBreak/>
        <w:t xml:space="preserve">- в устной форме произвести музыкально-теоретический анализ, определяя в его ходе наиболее заметные элементы выразительности, в том числе рассмотреть </w:t>
      </w:r>
      <w:proofErr w:type="spellStart"/>
      <w:r w:rsidRPr="00692C2F">
        <w:rPr>
          <w:rFonts w:ascii="Times New Roman" w:eastAsia="Times New Roman" w:hAnsi="Times New Roman" w:cs="Times New Roman"/>
          <w:sz w:val="28"/>
          <w:szCs w:val="28"/>
          <w:lang w:eastAsia="ru-RU"/>
        </w:rPr>
        <w:t>звуковысотные</w:t>
      </w:r>
      <w:proofErr w:type="spellEnd"/>
      <w:r w:rsidRPr="00692C2F">
        <w:rPr>
          <w:rFonts w:ascii="Times New Roman" w:eastAsia="Times New Roman" w:hAnsi="Times New Roman" w:cs="Times New Roman"/>
          <w:sz w:val="28"/>
          <w:szCs w:val="28"/>
          <w:lang w:eastAsia="ru-RU"/>
        </w:rPr>
        <w:t xml:space="preserve"> контуры мелодии, ритмику, особенности фактуры;</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проговорить и осмыслить авторские ремарки;</w:t>
      </w:r>
    </w:p>
    <w:p w:rsidR="005E14E9"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 проанализировать основные технические приемы (аппликатура, штрихи). </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 Цель всего сказанного и показанного учащемуся состоит, прежде всего, в том, чтобы разбудить или углубить его собственную мысль и эмоциональное восприятие музыки, вызвать потребность в обязательной внутренней работе, связанной с осознанием произведения и с проникновением в его содержание. С понимания настроения, характера, эмоционального ощущения основных художественных образов начинается изучение музыки.</w:t>
      </w:r>
    </w:p>
    <w:p w:rsidR="005E14E9" w:rsidRPr="00692C2F" w:rsidRDefault="005E14E9" w:rsidP="00601A27">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b/>
          <w:bCs/>
          <w:sz w:val="28"/>
          <w:szCs w:val="28"/>
          <w:lang w:eastAsia="ru-RU"/>
        </w:rPr>
        <w:t>2.2 Исполнительский анализ</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Ознакомившись с произведением, ученик приступает к тщательному прочтению текста, к его разбору. Грамотный, осмысленный анализ текста создает основу для верной организации дальнейшей работы, поэтому его значение трудно переоценить. Время, занимаемое разбором музыкального произведения и качество его анализа, будут разными для учащихся различной степени музыкальной одаренности и общекультурного уровня развития. Однако во всех случаях на данной начальной ступени работы преподаватель должен следить за тем, чтобы в работе ученика не было неряшливости, небрежности. Следует помнить, что всякая "случайная" неточность игры в самом начале работы ведет к искажению формирующегося музыкального образа, и что ошибки, допущенные при разборе нотного текста, нередко прочно укореняются и тормозят дальнейшее разучивание пьесы.</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Знакомство с текстом начинается с его зрительного охвата. Чтение текста с помощью инструмента помогает выявить наиболее сложные в техническом отношении фрагменты, определить приемы работы, актуальные для каждого вида техники. </w:t>
      </w:r>
      <w:proofErr w:type="gramStart"/>
      <w:r w:rsidRPr="00692C2F">
        <w:rPr>
          <w:rFonts w:ascii="Times New Roman" w:eastAsia="Times New Roman" w:hAnsi="Times New Roman" w:cs="Times New Roman"/>
          <w:sz w:val="28"/>
          <w:szCs w:val="28"/>
          <w:lang w:eastAsia="ru-RU"/>
        </w:rPr>
        <w:t>Исполнительский анализ позволяет установить особенности структурной композиции произведения в целом, и в деталях, определить динамическую направленность развития к местной или главной кульминациям.</w:t>
      </w:r>
      <w:proofErr w:type="gramEnd"/>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В музыкальном произведении, являющем собой целостность, все элементы языка взаимосвязаны, но каждый из них играет собственную специфическую роль в создании художественного образа. Выявление роли каждого элемента языка помогает раскрыть содержание произведения. Тщательный исполнительский анализ - путь к верному прочтению и трактовке авторского текста. Ученик должен уяснить, что исполнитель не имеет права переделывать указания автора по собственному желанию.</w:t>
      </w:r>
    </w:p>
    <w:p w:rsidR="00601A27"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А теперь подробнее рассмотрим наиболее сложные </w:t>
      </w:r>
      <w:r w:rsidR="00601A27">
        <w:rPr>
          <w:rFonts w:ascii="Times New Roman" w:eastAsia="Times New Roman" w:hAnsi="Times New Roman" w:cs="Times New Roman"/>
          <w:sz w:val="28"/>
          <w:szCs w:val="28"/>
          <w:lang w:eastAsia="ru-RU"/>
        </w:rPr>
        <w:t>приемы:</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1. Суть метода «унификации ритмики» состоит в том, что долгие звуки предварительно дробятся на несколько более коротких повторяющихся звуков, (соответствующих соседним длительностям), а паузы заполняются извлечением какого-либо подходящего тона или аккорда. Таким способом ученик предельно наглядно усваивает временные расстояния.</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lastRenderedPageBreak/>
        <w:t>2. Осознание клавиатурного рисунка вовсе не то же, что расшифровка нотных знаков: ученик младших классов, даже правильно прочитав нотный знак, далеко не всегда находит нужную клавишу. Здесь полезен метод проигрывания мелодии одним пальцем вне ритма, что освобождает ученика от забот о точной реализации аппликатуры. При этом следует называть вслух каждый звук до его извлечения, а не после, как это обычно делают дети.</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3. Методы </w:t>
      </w:r>
      <w:proofErr w:type="spellStart"/>
      <w:r w:rsidRPr="00692C2F">
        <w:rPr>
          <w:rFonts w:ascii="Times New Roman" w:eastAsia="Times New Roman" w:hAnsi="Times New Roman" w:cs="Times New Roman"/>
          <w:sz w:val="28"/>
          <w:szCs w:val="28"/>
          <w:lang w:eastAsia="ru-RU"/>
        </w:rPr>
        <w:t>сольфеджирования</w:t>
      </w:r>
      <w:proofErr w:type="spellEnd"/>
      <w:r w:rsidRPr="00692C2F">
        <w:rPr>
          <w:rFonts w:ascii="Times New Roman" w:eastAsia="Times New Roman" w:hAnsi="Times New Roman" w:cs="Times New Roman"/>
          <w:sz w:val="28"/>
          <w:szCs w:val="28"/>
          <w:lang w:eastAsia="ru-RU"/>
        </w:rPr>
        <w:t xml:space="preserve"> и свободное от неточностей «осторожное проигрывание» являются основными способами, ведущими к слуховому осознанию высотности мелодического рисунка. При систематической работе в этом направлении можно добиться того, что ученик научится одно время играть всю ткань и </w:t>
      </w:r>
      <w:proofErr w:type="spellStart"/>
      <w:r w:rsidRPr="00692C2F">
        <w:rPr>
          <w:rFonts w:ascii="Times New Roman" w:eastAsia="Times New Roman" w:hAnsi="Times New Roman" w:cs="Times New Roman"/>
          <w:sz w:val="28"/>
          <w:szCs w:val="28"/>
          <w:lang w:eastAsia="ru-RU"/>
        </w:rPr>
        <w:t>сольфеджировать</w:t>
      </w:r>
      <w:proofErr w:type="spellEnd"/>
      <w:r w:rsidRPr="00692C2F">
        <w:rPr>
          <w:rFonts w:ascii="Times New Roman" w:eastAsia="Times New Roman" w:hAnsi="Times New Roman" w:cs="Times New Roman"/>
          <w:sz w:val="28"/>
          <w:szCs w:val="28"/>
          <w:lang w:eastAsia="ru-RU"/>
        </w:rPr>
        <w:t xml:space="preserve"> один из голосов.</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4. Метод игры с предварительным названием пальца и метод беззвучного </w:t>
      </w:r>
      <w:proofErr w:type="spellStart"/>
      <w:r w:rsidRPr="00692C2F">
        <w:rPr>
          <w:rFonts w:ascii="Times New Roman" w:eastAsia="Times New Roman" w:hAnsi="Times New Roman" w:cs="Times New Roman"/>
          <w:sz w:val="28"/>
          <w:szCs w:val="28"/>
          <w:lang w:eastAsia="ru-RU"/>
        </w:rPr>
        <w:t>контактирования</w:t>
      </w:r>
      <w:proofErr w:type="spellEnd"/>
      <w:r w:rsidRPr="00692C2F">
        <w:rPr>
          <w:rFonts w:ascii="Times New Roman" w:eastAsia="Times New Roman" w:hAnsi="Times New Roman" w:cs="Times New Roman"/>
          <w:sz w:val="28"/>
          <w:szCs w:val="28"/>
          <w:lang w:eastAsia="ru-RU"/>
        </w:rPr>
        <w:t xml:space="preserve"> пальцев с клавиатурой способствует лучшему запоминанию нотного текста и устранению желания быстро играть последующие звуки, а, наоборот, концентрируясь на отдельных элементах музыкальной ткани.</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5. Руководствуясь методическим приемом вычленения простого из сложного, можно облегчить восприятие музыки, временно фиксируя внимание ученика на одних заданиях и допуская при этом приблизительное выполнение других. Например, при точном прочтении высотности и аппликатуры, можно временно лишь слухом контролировать метрику или же, сохраняя точность и осмысленность исполнения всех трех названных компонентов, постепенно подключать новые (ощущение фразы, динамики, штрихов и т.д.).</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6. Велика роль распространенного в практике метода исполнительского показа как средства, подсказывающего пути овладения конкретными исполнительскими задачами и трудностями. Выше упоминалось о показе-исполнении всего произведения, необходимом для ученика до начала работы над ним. Однако показ всего произведения должен перейти в стадию расчленения произведения на фрагменты, показа отдельных художественных и технических деталей. Одним из таких характерных приемов является преувеличенный, гиперболизированный показ, подчеркнуто демонстрирующий ученику не вполне удающиеся ему звуковые и технические детали исполнения.</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7. Для активизации самостоятельности исполнительских решений полезен метод наводящих вопросов. Например, «Что тебе в этой пьесе совсем не удалось?», «Красиво ли это прозвучало?» и т. д. Для воспитания самостоятельности ученика этот метод может быть использован и в таких заданиях, как обозначение учеником аппликатуры в отдельных отрывках произведения или цезур между мелодическими построениями.</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8. Суть метода «звук – слово» или подстрочный текст заключается в том, что к музыкальной фразе или к интонационному обороту подбирается словесный текст, что позволяет ученику точнее почувствовать выразительность музыки: интонационные акценты, окончания фраз. Например, для мажорного трезвучия снизу вверх: «По – </w:t>
      </w:r>
      <w:proofErr w:type="spellStart"/>
      <w:proofErr w:type="gramStart"/>
      <w:r w:rsidRPr="00692C2F">
        <w:rPr>
          <w:rFonts w:ascii="Times New Roman" w:eastAsia="Times New Roman" w:hAnsi="Times New Roman" w:cs="Times New Roman"/>
          <w:sz w:val="28"/>
          <w:szCs w:val="28"/>
          <w:lang w:eastAsia="ru-RU"/>
        </w:rPr>
        <w:t>дой</w:t>
      </w:r>
      <w:proofErr w:type="spellEnd"/>
      <w:r w:rsidRPr="00692C2F">
        <w:rPr>
          <w:rFonts w:ascii="Times New Roman" w:eastAsia="Times New Roman" w:hAnsi="Times New Roman" w:cs="Times New Roman"/>
          <w:sz w:val="28"/>
          <w:szCs w:val="28"/>
          <w:lang w:eastAsia="ru-RU"/>
        </w:rPr>
        <w:t xml:space="preserve"> – </w:t>
      </w:r>
      <w:proofErr w:type="spellStart"/>
      <w:r w:rsidRPr="00692C2F">
        <w:rPr>
          <w:rFonts w:ascii="Times New Roman" w:eastAsia="Times New Roman" w:hAnsi="Times New Roman" w:cs="Times New Roman"/>
          <w:sz w:val="28"/>
          <w:szCs w:val="28"/>
          <w:lang w:eastAsia="ru-RU"/>
        </w:rPr>
        <w:t>ди</w:t>
      </w:r>
      <w:proofErr w:type="spellEnd"/>
      <w:proofErr w:type="gramEnd"/>
      <w:r w:rsidRPr="00692C2F">
        <w:rPr>
          <w:rFonts w:ascii="Times New Roman" w:eastAsia="Times New Roman" w:hAnsi="Times New Roman" w:cs="Times New Roman"/>
          <w:sz w:val="28"/>
          <w:szCs w:val="28"/>
          <w:lang w:eastAsia="ru-RU"/>
        </w:rPr>
        <w:t xml:space="preserve">!», для минорного трезвучия сверху вниз: «У – </w:t>
      </w:r>
      <w:proofErr w:type="gramStart"/>
      <w:r w:rsidRPr="00692C2F">
        <w:rPr>
          <w:rFonts w:ascii="Times New Roman" w:eastAsia="Times New Roman" w:hAnsi="Times New Roman" w:cs="Times New Roman"/>
          <w:sz w:val="28"/>
          <w:szCs w:val="28"/>
          <w:lang w:eastAsia="ru-RU"/>
        </w:rPr>
        <w:t xml:space="preserve">хо – </w:t>
      </w:r>
      <w:proofErr w:type="spellStart"/>
      <w:r w:rsidRPr="00692C2F">
        <w:rPr>
          <w:rFonts w:ascii="Times New Roman" w:eastAsia="Times New Roman" w:hAnsi="Times New Roman" w:cs="Times New Roman"/>
          <w:sz w:val="28"/>
          <w:szCs w:val="28"/>
          <w:lang w:eastAsia="ru-RU"/>
        </w:rPr>
        <w:t>ди</w:t>
      </w:r>
      <w:proofErr w:type="spellEnd"/>
      <w:proofErr w:type="gramEnd"/>
      <w:r w:rsidRPr="00692C2F">
        <w:rPr>
          <w:rFonts w:ascii="Times New Roman" w:eastAsia="Times New Roman" w:hAnsi="Times New Roman" w:cs="Times New Roman"/>
          <w:sz w:val="28"/>
          <w:szCs w:val="28"/>
          <w:lang w:eastAsia="ru-RU"/>
        </w:rPr>
        <w:t xml:space="preserve">!», для пятипальцевой последовательности: «Вот иду я вверх», «Вот иду я вниз». А. Артоболевская в своем учебном пособии «Первая встреча с музыкой» в кратких пояснениях к пьесам приводит примеры стихотворений, помогающие почувствовать настроение произведения, </w:t>
      </w:r>
      <w:r w:rsidRPr="00692C2F">
        <w:rPr>
          <w:rFonts w:ascii="Times New Roman" w:eastAsia="Times New Roman" w:hAnsi="Times New Roman" w:cs="Times New Roman"/>
          <w:sz w:val="28"/>
          <w:szCs w:val="28"/>
          <w:lang w:eastAsia="ru-RU"/>
        </w:rPr>
        <w:lastRenderedPageBreak/>
        <w:t xml:space="preserve">выдерживать точность ритма. К. А. </w:t>
      </w:r>
      <w:proofErr w:type="spellStart"/>
      <w:r w:rsidRPr="00692C2F">
        <w:rPr>
          <w:rFonts w:ascii="Times New Roman" w:eastAsia="Times New Roman" w:hAnsi="Times New Roman" w:cs="Times New Roman"/>
          <w:sz w:val="28"/>
          <w:szCs w:val="28"/>
          <w:lang w:eastAsia="ru-RU"/>
        </w:rPr>
        <w:t>Мартинсен</w:t>
      </w:r>
      <w:proofErr w:type="spellEnd"/>
      <w:r w:rsidRPr="00692C2F">
        <w:rPr>
          <w:rFonts w:ascii="Times New Roman" w:eastAsia="Times New Roman" w:hAnsi="Times New Roman" w:cs="Times New Roman"/>
          <w:sz w:val="28"/>
          <w:szCs w:val="28"/>
          <w:lang w:eastAsia="ru-RU"/>
        </w:rPr>
        <w:t xml:space="preserve"> советовал всем педагогам использовать метод «звук – слово», импровизируя «на ходу».</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b/>
          <w:bCs/>
          <w:sz w:val="28"/>
          <w:szCs w:val="28"/>
          <w:lang w:eastAsia="ru-RU"/>
        </w:rPr>
        <w:t>2.3 Оформление произведения в единое художественное целое</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Цель третьего этапа работы над музыкальным произведением – достижение целостности исполнения произведения, объединение выученных деталей в цельный творческий организм. </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Задачи этапа: </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развитие навыка перспективного слухового мышления и антиципации (умения представлять результаты своего действия еще до его осуществления);</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достижение ровного и незатрудненного исполнения (и по нотам, и на память);</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преодоление двигательных трудностей в сложных пассажах и неудобных элементах музыкального материала;</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сцепление игровых образов с точки зрения единой концепции музыкального произведения;</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 углубление выразительности игры; </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 уточнение характера звучности (распределение силы звука, педализации); </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уточнение ритмики и достижение единства темпа всего произведения (без учета темповых изменений автора или редактора).</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Для решения поставленных задач используются следующие методы работы: пробные проигрывания пьесы целиком; занятия в «представлении»; </w:t>
      </w:r>
      <w:proofErr w:type="spellStart"/>
      <w:r w:rsidRPr="00692C2F">
        <w:rPr>
          <w:rFonts w:ascii="Times New Roman" w:eastAsia="Times New Roman" w:hAnsi="Times New Roman" w:cs="Times New Roman"/>
          <w:sz w:val="28"/>
          <w:szCs w:val="28"/>
          <w:lang w:eastAsia="ru-RU"/>
        </w:rPr>
        <w:t>дирижирование</w:t>
      </w:r>
      <w:proofErr w:type="spellEnd"/>
      <w:r w:rsidRPr="00692C2F">
        <w:rPr>
          <w:rFonts w:ascii="Times New Roman" w:eastAsia="Times New Roman" w:hAnsi="Times New Roman" w:cs="Times New Roman"/>
          <w:sz w:val="28"/>
          <w:szCs w:val="28"/>
          <w:lang w:eastAsia="ru-RU"/>
        </w:rPr>
        <w:t>; сопоставление между собой небольших отрезков музыки из разных частей; многократные повторения; постепенное удлинение музыкальной мысли; варианты (ритмические, силовые, артикуляционные).</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Пробные проигрывания позволяют исполнителю определить пропорции деталей сочинения в целостном полотне и откорректировать их между собой. Благодаря пробным исполнениям пианист сможет выявить степень логичности переходов между построениями, устранить неточности ритмического становления музыки, динамического развертывания исполняемого образа. Пробные исполнения позволяют обнаружить технические недостатки игры.</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Карл </w:t>
      </w:r>
      <w:proofErr w:type="spellStart"/>
      <w:r w:rsidRPr="00692C2F">
        <w:rPr>
          <w:rFonts w:ascii="Times New Roman" w:eastAsia="Times New Roman" w:hAnsi="Times New Roman" w:cs="Times New Roman"/>
          <w:sz w:val="28"/>
          <w:szCs w:val="28"/>
          <w:lang w:eastAsia="ru-RU"/>
        </w:rPr>
        <w:t>Лаймер</w:t>
      </w:r>
      <w:proofErr w:type="spellEnd"/>
      <w:r w:rsidRPr="00692C2F">
        <w:rPr>
          <w:rFonts w:ascii="Times New Roman" w:eastAsia="Times New Roman" w:hAnsi="Times New Roman" w:cs="Times New Roman"/>
          <w:sz w:val="28"/>
          <w:szCs w:val="28"/>
          <w:lang w:eastAsia="ru-RU"/>
        </w:rPr>
        <w:t>, видный педагог ХХ века (Ганноверская консерватория), считал, что отстранение от реальных игровых проблем, отклонение от пальцевых (мышечных), автоматизмов приводит к активизации фантазии музыканта. Другой видный представитель фортепианной педагогики Й. Гофман говорил, что этот метод необходим для того, чтобы вновь достигнутые результаты «могли созреть в мозгу и как бы войти в вашу плоть и кровь».</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Таким образом, методика формирования навыка исполнения произведения вне опоры на реальное звучание должна быть построена исходя из уровня индивидуальной </w:t>
      </w:r>
      <w:r w:rsidRPr="00692C2F">
        <w:rPr>
          <w:rFonts w:ascii="Times New Roman" w:eastAsia="Times New Roman" w:hAnsi="Times New Roman" w:cs="Times New Roman"/>
          <w:sz w:val="28"/>
          <w:szCs w:val="28"/>
          <w:lang w:eastAsia="ru-RU"/>
        </w:rPr>
        <w:lastRenderedPageBreak/>
        <w:t>подготовки учащихся, и носить характер постепенно возрастающей сложности. Вначале это будут представления небольших произведений, затем более крупных разделов, вплоть до объединения частей в цикле.</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Для достижения целостности произведения широко распространен «Дирижерский метод работы», который является уникальной формой занятий, т.к. позволяет объять одним круговым движением как отдельные музыкальные построения, так и все </w:t>
      </w:r>
      <w:proofErr w:type="gramStart"/>
      <w:r w:rsidRPr="00692C2F">
        <w:rPr>
          <w:rFonts w:ascii="Times New Roman" w:eastAsia="Times New Roman" w:hAnsi="Times New Roman" w:cs="Times New Roman"/>
          <w:sz w:val="28"/>
          <w:szCs w:val="28"/>
          <w:lang w:eastAsia="ru-RU"/>
        </w:rPr>
        <w:t>произведение</w:t>
      </w:r>
      <w:proofErr w:type="gramEnd"/>
      <w:r w:rsidRPr="00692C2F">
        <w:rPr>
          <w:rFonts w:ascii="Times New Roman" w:eastAsia="Times New Roman" w:hAnsi="Times New Roman" w:cs="Times New Roman"/>
          <w:sz w:val="28"/>
          <w:szCs w:val="28"/>
          <w:lang w:eastAsia="ru-RU"/>
        </w:rPr>
        <w:t xml:space="preserve"> в общем. Такой охват поможет музыканту прервать безостановочность течения звукового потока, </w:t>
      </w:r>
      <w:proofErr w:type="gramStart"/>
      <w:r w:rsidRPr="00692C2F">
        <w:rPr>
          <w:rFonts w:ascii="Times New Roman" w:eastAsia="Times New Roman" w:hAnsi="Times New Roman" w:cs="Times New Roman"/>
          <w:sz w:val="28"/>
          <w:szCs w:val="28"/>
          <w:lang w:eastAsia="ru-RU"/>
        </w:rPr>
        <w:t>что</w:t>
      </w:r>
      <w:proofErr w:type="gramEnd"/>
      <w:r w:rsidRPr="00692C2F">
        <w:rPr>
          <w:rFonts w:ascii="Times New Roman" w:eastAsia="Times New Roman" w:hAnsi="Times New Roman" w:cs="Times New Roman"/>
          <w:sz w:val="28"/>
          <w:szCs w:val="28"/>
          <w:lang w:eastAsia="ru-RU"/>
        </w:rPr>
        <w:t xml:space="preserve"> несомненно будет способствовать развитию стройности формы произведения. Иными словами, дирижерский метод поможет выявить степень овладения учеником навыками горизонтального мышления и антиципации. Особое значение приобретает </w:t>
      </w:r>
      <w:proofErr w:type="spellStart"/>
      <w:r w:rsidRPr="00692C2F">
        <w:rPr>
          <w:rFonts w:ascii="Times New Roman" w:eastAsia="Times New Roman" w:hAnsi="Times New Roman" w:cs="Times New Roman"/>
          <w:sz w:val="28"/>
          <w:szCs w:val="28"/>
          <w:lang w:eastAsia="ru-RU"/>
        </w:rPr>
        <w:t>дирижирование</w:t>
      </w:r>
      <w:proofErr w:type="spellEnd"/>
      <w:r w:rsidRPr="00692C2F">
        <w:rPr>
          <w:rFonts w:ascii="Times New Roman" w:eastAsia="Times New Roman" w:hAnsi="Times New Roman" w:cs="Times New Roman"/>
          <w:sz w:val="28"/>
          <w:szCs w:val="28"/>
          <w:lang w:eastAsia="ru-RU"/>
        </w:rPr>
        <w:t xml:space="preserve"> при организации временной структуры пьесы, в укреплении чувства ритма музыканта. </w:t>
      </w:r>
      <w:proofErr w:type="spellStart"/>
      <w:r w:rsidRPr="00692C2F">
        <w:rPr>
          <w:rFonts w:ascii="Times New Roman" w:eastAsia="Times New Roman" w:hAnsi="Times New Roman" w:cs="Times New Roman"/>
          <w:sz w:val="28"/>
          <w:szCs w:val="28"/>
          <w:lang w:eastAsia="ru-RU"/>
        </w:rPr>
        <w:t>Дирижирование</w:t>
      </w:r>
      <w:proofErr w:type="spellEnd"/>
      <w:r w:rsidRPr="00692C2F">
        <w:rPr>
          <w:rFonts w:ascii="Times New Roman" w:eastAsia="Times New Roman" w:hAnsi="Times New Roman" w:cs="Times New Roman"/>
          <w:sz w:val="28"/>
          <w:szCs w:val="28"/>
          <w:lang w:eastAsia="ru-RU"/>
        </w:rPr>
        <w:t xml:space="preserve"> поможет музыканту услышать тишину, превратить «беззвучие» в музыке. Сопоставление между собой выхваченных небольших отрезков музыки из разных частей способствует достижению единства темпа.</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proofErr w:type="gramStart"/>
      <w:r w:rsidRPr="00692C2F">
        <w:rPr>
          <w:rFonts w:ascii="Times New Roman" w:eastAsia="Times New Roman" w:hAnsi="Times New Roman" w:cs="Times New Roman"/>
          <w:sz w:val="28"/>
          <w:szCs w:val="28"/>
          <w:lang w:eastAsia="ru-RU"/>
        </w:rPr>
        <w:t>Существуют методы многократных повторений и постепенного удлинения пассажа «влево», например, присоединение к последующему звену последовательно одного, двух, трех и т. д. предыдущих звеньев; постепенное удлинение «вправо», например, присоединение к начальному звену пассажа последовательно одного, двух, трех и т. д. дальнейших звеньев.</w:t>
      </w:r>
      <w:proofErr w:type="gramEnd"/>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Вторая разновидность значительно более распространена в практике, чем первая, однако первая, будучи для ученика более трудной, часто дает больший эффект.</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В плане закрепления технической работы на третьем этапе большую роль может сыграть применение «метода вариантов» в его различных видах.</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proofErr w:type="gramStart"/>
      <w:r w:rsidRPr="00692C2F">
        <w:rPr>
          <w:rFonts w:ascii="Times New Roman" w:eastAsia="Times New Roman" w:hAnsi="Times New Roman" w:cs="Times New Roman"/>
          <w:sz w:val="28"/>
          <w:szCs w:val="28"/>
          <w:lang w:eastAsia="ru-RU"/>
        </w:rPr>
        <w:t>В практике пианиста-исполнителя широко распространены «ритмические варианты», применяемые при проработке звуковых линий из ровных мелких длительностей (</w:t>
      </w:r>
      <w:proofErr w:type="spellStart"/>
      <w:r w:rsidRPr="00692C2F">
        <w:rPr>
          <w:rFonts w:ascii="Times New Roman" w:eastAsia="Times New Roman" w:hAnsi="Times New Roman" w:cs="Times New Roman"/>
          <w:sz w:val="28"/>
          <w:szCs w:val="28"/>
          <w:lang w:eastAsia="ru-RU"/>
        </w:rPr>
        <w:t>проучивание</w:t>
      </w:r>
      <w:proofErr w:type="spellEnd"/>
      <w:r w:rsidRPr="00692C2F">
        <w:rPr>
          <w:rFonts w:ascii="Times New Roman" w:eastAsia="Times New Roman" w:hAnsi="Times New Roman" w:cs="Times New Roman"/>
          <w:sz w:val="28"/>
          <w:szCs w:val="28"/>
          <w:lang w:eastAsia="ru-RU"/>
        </w:rPr>
        <w:t xml:space="preserve"> пунктирным ритмом); «силовые варианты», например, замедленная игра ровным форте или (реже) предельно слабым звуком, или варьирование нюансировки (в этюдах), или варьирование относительной силы голосов (в полифонии) и т.п.; «артикуляционные варианты», например, игра нон легато или стаккато взамен легато.</w:t>
      </w:r>
      <w:proofErr w:type="gramEnd"/>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b/>
          <w:bCs/>
          <w:sz w:val="28"/>
          <w:szCs w:val="28"/>
          <w:lang w:eastAsia="ru-RU"/>
        </w:rPr>
        <w:t>2.4.Подготовка произведения к сценическому исполнению</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Цель заключительного этапа работы музыканта над произведением состоит в достижении уровня «эстетической завершенности» интерпретации. Для достижения этой цели важно, чтобы музыкант смог «подняться» над реальностью и превратиться из непосредственного участника событий в режиссера музыкального действа. Такой подход позволит исполнителю достичь в интерпретации равновесия между интеллектуальным началом и силой непосредственного чувства, добиться необходимого соотношения между рационально-логическим и эмоциональным.</w:t>
      </w:r>
    </w:p>
    <w:p w:rsidR="005E14E9" w:rsidRPr="00692C2F" w:rsidRDefault="005E14E9" w:rsidP="0059654F">
      <w:pPr>
        <w:spacing w:before="100" w:beforeAutospacing="1" w:after="100" w:afterAutospacing="1" w:line="240" w:lineRule="auto"/>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Достигнуть этого возможность благодаря дальнейшему укреплению навыков перспективного слухового мышления и антиципации с помощью следующих </w:t>
      </w:r>
      <w:r w:rsidRPr="00692C2F">
        <w:rPr>
          <w:rFonts w:ascii="Times New Roman" w:eastAsia="Times New Roman" w:hAnsi="Times New Roman" w:cs="Times New Roman"/>
          <w:sz w:val="28"/>
          <w:szCs w:val="28"/>
          <w:lang w:eastAsia="ru-RU"/>
        </w:rPr>
        <w:lastRenderedPageBreak/>
        <w:t xml:space="preserve">методов: исполнение </w:t>
      </w:r>
      <w:proofErr w:type="gramStart"/>
      <w:r w:rsidRPr="00692C2F">
        <w:rPr>
          <w:rFonts w:ascii="Times New Roman" w:eastAsia="Times New Roman" w:hAnsi="Times New Roman" w:cs="Times New Roman"/>
          <w:sz w:val="28"/>
          <w:szCs w:val="28"/>
          <w:lang w:eastAsia="ru-RU"/>
        </w:rPr>
        <w:t>произведения</w:t>
      </w:r>
      <w:proofErr w:type="gramEnd"/>
      <w:r w:rsidRPr="00692C2F">
        <w:rPr>
          <w:rFonts w:ascii="Times New Roman" w:eastAsia="Times New Roman" w:hAnsi="Times New Roman" w:cs="Times New Roman"/>
          <w:sz w:val="28"/>
          <w:szCs w:val="28"/>
          <w:lang w:eastAsia="ru-RU"/>
        </w:rPr>
        <w:t xml:space="preserve"> целиком, приобретающее характер сценического выступления; занятие в «представлении».</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Исполнение произведения от начала до конца укрепляет слуховое внимание музыканта и в первую очередь такое его качество, как сосредоточенность. Способность концентрироваться на исполняемом позволяет инструменталисту с помощью активного слухового контроля объективно оценивать реальное звучание и корректировать исполнение в желаемом направлении.</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На заключительном этапе большое значение имеет «метод раздвинутых </w:t>
      </w:r>
      <w:proofErr w:type="spellStart"/>
      <w:r w:rsidRPr="00692C2F">
        <w:rPr>
          <w:rFonts w:ascii="Times New Roman" w:eastAsia="Times New Roman" w:hAnsi="Times New Roman" w:cs="Times New Roman"/>
          <w:sz w:val="28"/>
          <w:szCs w:val="28"/>
          <w:lang w:eastAsia="ru-RU"/>
        </w:rPr>
        <w:t>проигрываний</w:t>
      </w:r>
      <w:proofErr w:type="spellEnd"/>
      <w:r w:rsidRPr="00692C2F">
        <w:rPr>
          <w:rFonts w:ascii="Times New Roman" w:eastAsia="Times New Roman" w:hAnsi="Times New Roman" w:cs="Times New Roman"/>
          <w:sz w:val="28"/>
          <w:szCs w:val="28"/>
          <w:lang w:eastAsia="ru-RU"/>
        </w:rPr>
        <w:t>», как всей пьесы в целом, так и отдельных эпизодов частей. Регулярная тренировка синтетической способности, осуществляемая на заключительном этапе работы над произведением с помощью методов исполнения целиком и занятий в «представлении», приводит к рождению в сознании ученика «свернутой» (сжатой) модели интерпретации. Эта модель хранит в себе звуковой эталон формы пьесы и необходимый для его воплощения на инструменте арсенал пианистических движений. Под контролем творческого сознания музыканта такая модель способна развернуться в выстроенное повествование, отражающее логику становления художественной идеи произведения.</w:t>
      </w:r>
    </w:p>
    <w:p w:rsidR="005E14E9" w:rsidRPr="00692C2F" w:rsidRDefault="005E14E9" w:rsidP="005E14E9">
      <w:p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b/>
          <w:bCs/>
          <w:sz w:val="28"/>
          <w:szCs w:val="28"/>
          <w:lang w:eastAsia="ru-RU"/>
        </w:rPr>
        <w:t>Список литературы:</w:t>
      </w:r>
    </w:p>
    <w:p w:rsidR="005E14E9" w:rsidRPr="00692C2F" w:rsidRDefault="005E14E9" w:rsidP="005E14E9">
      <w:pPr>
        <w:numPr>
          <w:ilvl w:val="0"/>
          <w:numId w:val="2"/>
        </w:num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А. Артоболевская «Первая встреча с музыкой», учебное пособие. – М.: «Советский композитор», 1986</w:t>
      </w:r>
    </w:p>
    <w:p w:rsidR="005E14E9" w:rsidRPr="00692C2F" w:rsidRDefault="005E14E9" w:rsidP="005E14E9">
      <w:pPr>
        <w:numPr>
          <w:ilvl w:val="0"/>
          <w:numId w:val="2"/>
        </w:num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А. В. </w:t>
      </w:r>
      <w:proofErr w:type="spellStart"/>
      <w:r w:rsidRPr="00692C2F">
        <w:rPr>
          <w:rFonts w:ascii="Times New Roman" w:eastAsia="Times New Roman" w:hAnsi="Times New Roman" w:cs="Times New Roman"/>
          <w:sz w:val="28"/>
          <w:szCs w:val="28"/>
          <w:lang w:eastAsia="ru-RU"/>
        </w:rPr>
        <w:t>Вицинский</w:t>
      </w:r>
      <w:proofErr w:type="spellEnd"/>
      <w:r w:rsidRPr="00692C2F">
        <w:rPr>
          <w:rFonts w:ascii="Times New Roman" w:eastAsia="Times New Roman" w:hAnsi="Times New Roman" w:cs="Times New Roman"/>
          <w:sz w:val="28"/>
          <w:szCs w:val="28"/>
          <w:lang w:eastAsia="ru-RU"/>
        </w:rPr>
        <w:t xml:space="preserve"> «Процесс работы пианиста – исполнителя над музыкальным произведением». - М. Классика - ХХ</w:t>
      </w:r>
      <w:proofErr w:type="gramStart"/>
      <w:r w:rsidRPr="00692C2F">
        <w:rPr>
          <w:rFonts w:ascii="Times New Roman" w:eastAsia="Times New Roman" w:hAnsi="Times New Roman" w:cs="Times New Roman"/>
          <w:sz w:val="28"/>
          <w:szCs w:val="28"/>
          <w:lang w:eastAsia="ru-RU"/>
        </w:rPr>
        <w:t>I</w:t>
      </w:r>
      <w:proofErr w:type="gramEnd"/>
      <w:r w:rsidRPr="00692C2F">
        <w:rPr>
          <w:rFonts w:ascii="Times New Roman" w:eastAsia="Times New Roman" w:hAnsi="Times New Roman" w:cs="Times New Roman"/>
          <w:sz w:val="28"/>
          <w:szCs w:val="28"/>
          <w:lang w:eastAsia="ru-RU"/>
        </w:rPr>
        <w:t>, 2003</w:t>
      </w:r>
    </w:p>
    <w:p w:rsidR="005E14E9" w:rsidRPr="00692C2F" w:rsidRDefault="005E14E9" w:rsidP="005E14E9">
      <w:pPr>
        <w:numPr>
          <w:ilvl w:val="0"/>
          <w:numId w:val="2"/>
        </w:num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Л. О. Гинзбург «О работе над музыкальным произведением», 4-е издание. – М.: Классика - ХХ</w:t>
      </w:r>
      <w:proofErr w:type="gramStart"/>
      <w:r w:rsidRPr="00692C2F">
        <w:rPr>
          <w:rFonts w:ascii="Times New Roman" w:eastAsia="Times New Roman" w:hAnsi="Times New Roman" w:cs="Times New Roman"/>
          <w:sz w:val="28"/>
          <w:szCs w:val="28"/>
          <w:lang w:eastAsia="ru-RU"/>
        </w:rPr>
        <w:t>I</w:t>
      </w:r>
      <w:proofErr w:type="gramEnd"/>
      <w:r w:rsidRPr="00692C2F">
        <w:rPr>
          <w:rFonts w:ascii="Times New Roman" w:eastAsia="Times New Roman" w:hAnsi="Times New Roman" w:cs="Times New Roman"/>
          <w:sz w:val="28"/>
          <w:szCs w:val="28"/>
          <w:lang w:eastAsia="ru-RU"/>
        </w:rPr>
        <w:t>, 1981</w:t>
      </w:r>
    </w:p>
    <w:p w:rsidR="005E14E9" w:rsidRPr="00692C2F" w:rsidRDefault="005E14E9" w:rsidP="005E14E9">
      <w:pPr>
        <w:numPr>
          <w:ilvl w:val="0"/>
          <w:numId w:val="2"/>
        </w:num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Й. Гофман «Фортепианная игра. Ответы на вопросы о фортепианной игре». - М.: Классика – ХХ</w:t>
      </w:r>
      <w:proofErr w:type="gramStart"/>
      <w:r w:rsidRPr="00692C2F">
        <w:rPr>
          <w:rFonts w:ascii="Times New Roman" w:eastAsia="Times New Roman" w:hAnsi="Times New Roman" w:cs="Times New Roman"/>
          <w:sz w:val="28"/>
          <w:szCs w:val="28"/>
          <w:lang w:eastAsia="ru-RU"/>
        </w:rPr>
        <w:t>I</w:t>
      </w:r>
      <w:proofErr w:type="gramEnd"/>
      <w:r w:rsidRPr="00692C2F">
        <w:rPr>
          <w:rFonts w:ascii="Times New Roman" w:eastAsia="Times New Roman" w:hAnsi="Times New Roman" w:cs="Times New Roman"/>
          <w:sz w:val="28"/>
          <w:szCs w:val="28"/>
          <w:lang w:eastAsia="ru-RU"/>
        </w:rPr>
        <w:t>, 2002</w:t>
      </w:r>
    </w:p>
    <w:p w:rsidR="005E14E9" w:rsidRPr="00692C2F" w:rsidRDefault="005E14E9" w:rsidP="005E14E9">
      <w:pPr>
        <w:numPr>
          <w:ilvl w:val="0"/>
          <w:numId w:val="2"/>
        </w:num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А. И. Николаева, А. Г. </w:t>
      </w:r>
      <w:proofErr w:type="spellStart"/>
      <w:r w:rsidRPr="00692C2F">
        <w:rPr>
          <w:rFonts w:ascii="Times New Roman" w:eastAsia="Times New Roman" w:hAnsi="Times New Roman" w:cs="Times New Roman"/>
          <w:sz w:val="28"/>
          <w:szCs w:val="28"/>
          <w:lang w:eastAsia="ru-RU"/>
        </w:rPr>
        <w:t>Каузова</w:t>
      </w:r>
      <w:proofErr w:type="spellEnd"/>
      <w:r w:rsidRPr="00692C2F">
        <w:rPr>
          <w:rFonts w:ascii="Times New Roman" w:eastAsia="Times New Roman" w:hAnsi="Times New Roman" w:cs="Times New Roman"/>
          <w:sz w:val="28"/>
          <w:szCs w:val="28"/>
          <w:lang w:eastAsia="ru-RU"/>
        </w:rPr>
        <w:t xml:space="preserve"> «Теории и методика обучения игре на фортепиано». - М. Гуманитарное издание</w:t>
      </w:r>
    </w:p>
    <w:p w:rsidR="005E14E9" w:rsidRPr="00692C2F" w:rsidRDefault="005E14E9" w:rsidP="005E14E9">
      <w:pPr>
        <w:numPr>
          <w:ilvl w:val="0"/>
          <w:numId w:val="2"/>
        </w:num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К. А. </w:t>
      </w:r>
      <w:proofErr w:type="spellStart"/>
      <w:r w:rsidRPr="00692C2F">
        <w:rPr>
          <w:rFonts w:ascii="Times New Roman" w:eastAsia="Times New Roman" w:hAnsi="Times New Roman" w:cs="Times New Roman"/>
          <w:sz w:val="28"/>
          <w:szCs w:val="28"/>
          <w:lang w:eastAsia="ru-RU"/>
        </w:rPr>
        <w:t>Мартинсен</w:t>
      </w:r>
      <w:proofErr w:type="spellEnd"/>
      <w:r w:rsidRPr="00692C2F">
        <w:rPr>
          <w:rFonts w:ascii="Times New Roman" w:eastAsia="Times New Roman" w:hAnsi="Times New Roman" w:cs="Times New Roman"/>
          <w:sz w:val="28"/>
          <w:szCs w:val="28"/>
          <w:lang w:eastAsia="ru-RU"/>
        </w:rPr>
        <w:t xml:space="preserve"> «Методика индивидуального преподавания игры на фортепиано». - М.: Классика – ХХ</w:t>
      </w:r>
      <w:proofErr w:type="gramStart"/>
      <w:r w:rsidRPr="00692C2F">
        <w:rPr>
          <w:rFonts w:ascii="Times New Roman" w:eastAsia="Times New Roman" w:hAnsi="Times New Roman" w:cs="Times New Roman"/>
          <w:sz w:val="28"/>
          <w:szCs w:val="28"/>
          <w:lang w:eastAsia="ru-RU"/>
        </w:rPr>
        <w:t>I</w:t>
      </w:r>
      <w:proofErr w:type="gramEnd"/>
      <w:r w:rsidRPr="00692C2F">
        <w:rPr>
          <w:rFonts w:ascii="Times New Roman" w:eastAsia="Times New Roman" w:hAnsi="Times New Roman" w:cs="Times New Roman"/>
          <w:sz w:val="28"/>
          <w:szCs w:val="28"/>
          <w:lang w:eastAsia="ru-RU"/>
        </w:rPr>
        <w:t>, 2002</w:t>
      </w:r>
    </w:p>
    <w:p w:rsidR="005E14E9" w:rsidRPr="00692C2F" w:rsidRDefault="005E14E9" w:rsidP="005E14E9">
      <w:pPr>
        <w:numPr>
          <w:ilvl w:val="0"/>
          <w:numId w:val="2"/>
        </w:num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Б. </w:t>
      </w:r>
      <w:proofErr w:type="spellStart"/>
      <w:r w:rsidRPr="00692C2F">
        <w:rPr>
          <w:rFonts w:ascii="Times New Roman" w:eastAsia="Times New Roman" w:hAnsi="Times New Roman" w:cs="Times New Roman"/>
          <w:sz w:val="28"/>
          <w:szCs w:val="28"/>
          <w:lang w:eastAsia="ru-RU"/>
        </w:rPr>
        <w:t>Милич</w:t>
      </w:r>
      <w:proofErr w:type="spellEnd"/>
      <w:r w:rsidRPr="00692C2F">
        <w:rPr>
          <w:rFonts w:ascii="Times New Roman" w:eastAsia="Times New Roman" w:hAnsi="Times New Roman" w:cs="Times New Roman"/>
          <w:sz w:val="28"/>
          <w:szCs w:val="28"/>
          <w:lang w:eastAsia="ru-RU"/>
        </w:rPr>
        <w:t xml:space="preserve"> «Воспитание ученика – пианиста». - М.: Кифара, 2002</w:t>
      </w:r>
    </w:p>
    <w:p w:rsidR="005E14E9" w:rsidRPr="00692C2F" w:rsidRDefault="005E14E9" w:rsidP="005E14E9">
      <w:pPr>
        <w:numPr>
          <w:ilvl w:val="0"/>
          <w:numId w:val="2"/>
        </w:num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С. И. </w:t>
      </w:r>
      <w:proofErr w:type="spellStart"/>
      <w:r w:rsidRPr="00692C2F">
        <w:rPr>
          <w:rFonts w:ascii="Times New Roman" w:eastAsia="Times New Roman" w:hAnsi="Times New Roman" w:cs="Times New Roman"/>
          <w:sz w:val="28"/>
          <w:szCs w:val="28"/>
          <w:lang w:eastAsia="ru-RU"/>
        </w:rPr>
        <w:t>Савшинский</w:t>
      </w:r>
      <w:proofErr w:type="spellEnd"/>
      <w:r w:rsidRPr="00692C2F">
        <w:rPr>
          <w:rFonts w:ascii="Times New Roman" w:eastAsia="Times New Roman" w:hAnsi="Times New Roman" w:cs="Times New Roman"/>
          <w:sz w:val="28"/>
          <w:szCs w:val="28"/>
          <w:lang w:eastAsia="ru-RU"/>
        </w:rPr>
        <w:t xml:space="preserve"> «Работа пианиста над музыкальным произведением», М. – Л., 1964</w:t>
      </w:r>
    </w:p>
    <w:p w:rsidR="005E14E9" w:rsidRPr="00692C2F" w:rsidRDefault="005E14E9" w:rsidP="005E14E9">
      <w:pPr>
        <w:numPr>
          <w:ilvl w:val="0"/>
          <w:numId w:val="2"/>
        </w:num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 xml:space="preserve">С. Е. </w:t>
      </w:r>
      <w:proofErr w:type="spellStart"/>
      <w:r w:rsidRPr="00692C2F">
        <w:rPr>
          <w:rFonts w:ascii="Times New Roman" w:eastAsia="Times New Roman" w:hAnsi="Times New Roman" w:cs="Times New Roman"/>
          <w:sz w:val="28"/>
          <w:szCs w:val="28"/>
          <w:lang w:eastAsia="ru-RU"/>
        </w:rPr>
        <w:t>Фейнберг</w:t>
      </w:r>
      <w:proofErr w:type="spellEnd"/>
      <w:r w:rsidRPr="00692C2F">
        <w:rPr>
          <w:rFonts w:ascii="Times New Roman" w:eastAsia="Times New Roman" w:hAnsi="Times New Roman" w:cs="Times New Roman"/>
          <w:sz w:val="28"/>
          <w:szCs w:val="28"/>
          <w:lang w:eastAsia="ru-RU"/>
        </w:rPr>
        <w:t xml:space="preserve"> «Пианизм, как искусство». - М.: Классика - ХХ</w:t>
      </w:r>
      <w:proofErr w:type="gramStart"/>
      <w:r w:rsidRPr="00692C2F">
        <w:rPr>
          <w:rFonts w:ascii="Times New Roman" w:eastAsia="Times New Roman" w:hAnsi="Times New Roman" w:cs="Times New Roman"/>
          <w:sz w:val="28"/>
          <w:szCs w:val="28"/>
          <w:lang w:eastAsia="ru-RU"/>
        </w:rPr>
        <w:t>I</w:t>
      </w:r>
      <w:proofErr w:type="gramEnd"/>
      <w:r w:rsidRPr="00692C2F">
        <w:rPr>
          <w:rFonts w:ascii="Times New Roman" w:eastAsia="Times New Roman" w:hAnsi="Times New Roman" w:cs="Times New Roman"/>
          <w:sz w:val="28"/>
          <w:szCs w:val="28"/>
          <w:lang w:eastAsia="ru-RU"/>
        </w:rPr>
        <w:t>, 2001</w:t>
      </w:r>
    </w:p>
    <w:p w:rsidR="005E14E9" w:rsidRPr="00692C2F" w:rsidRDefault="005E14E9" w:rsidP="005E14E9">
      <w:pPr>
        <w:numPr>
          <w:ilvl w:val="0"/>
          <w:numId w:val="2"/>
        </w:num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Г. Хохрякова «Фортепиано: возможно ли обучение без мучения?» - на правах рукописи, 1998</w:t>
      </w:r>
    </w:p>
    <w:p w:rsidR="005E14E9" w:rsidRPr="00692C2F" w:rsidRDefault="005E14E9" w:rsidP="005E14E9">
      <w:pPr>
        <w:numPr>
          <w:ilvl w:val="0"/>
          <w:numId w:val="2"/>
        </w:num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А. П. Щапов «Фортепианный урок в музыкальной школе и училище». - М.: Классика – ХХ</w:t>
      </w:r>
      <w:proofErr w:type="gramStart"/>
      <w:r w:rsidRPr="00692C2F">
        <w:rPr>
          <w:rFonts w:ascii="Times New Roman" w:eastAsia="Times New Roman" w:hAnsi="Times New Roman" w:cs="Times New Roman"/>
          <w:sz w:val="28"/>
          <w:szCs w:val="28"/>
          <w:lang w:eastAsia="ru-RU"/>
        </w:rPr>
        <w:t>I</w:t>
      </w:r>
      <w:proofErr w:type="gramEnd"/>
      <w:r w:rsidRPr="00692C2F">
        <w:rPr>
          <w:rFonts w:ascii="Times New Roman" w:eastAsia="Times New Roman" w:hAnsi="Times New Roman" w:cs="Times New Roman"/>
          <w:sz w:val="28"/>
          <w:szCs w:val="28"/>
          <w:lang w:eastAsia="ru-RU"/>
        </w:rPr>
        <w:t xml:space="preserve">, 2001 </w:t>
      </w:r>
    </w:p>
    <w:p w:rsidR="005E14E9" w:rsidRPr="00692C2F" w:rsidRDefault="005E14E9" w:rsidP="005E14E9">
      <w:pPr>
        <w:numPr>
          <w:ilvl w:val="0"/>
          <w:numId w:val="2"/>
        </w:numPr>
        <w:spacing w:before="100" w:beforeAutospacing="1" w:after="100" w:afterAutospacing="1" w:line="240" w:lineRule="auto"/>
        <w:ind w:left="-993" w:firstLine="993"/>
        <w:rPr>
          <w:rFonts w:ascii="Times New Roman" w:eastAsia="Times New Roman" w:hAnsi="Times New Roman" w:cs="Times New Roman"/>
          <w:sz w:val="28"/>
          <w:szCs w:val="28"/>
          <w:lang w:eastAsia="ru-RU"/>
        </w:rPr>
      </w:pPr>
      <w:r w:rsidRPr="00692C2F">
        <w:rPr>
          <w:rFonts w:ascii="Times New Roman" w:eastAsia="Times New Roman" w:hAnsi="Times New Roman" w:cs="Times New Roman"/>
          <w:sz w:val="28"/>
          <w:szCs w:val="28"/>
          <w:lang w:eastAsia="ru-RU"/>
        </w:rPr>
        <w:t>Г.Коган У врат мастерства – М.: Классика – ХХ</w:t>
      </w:r>
      <w:proofErr w:type="gramStart"/>
      <w:r w:rsidRPr="00692C2F">
        <w:rPr>
          <w:rFonts w:ascii="Times New Roman" w:eastAsia="Times New Roman" w:hAnsi="Times New Roman" w:cs="Times New Roman"/>
          <w:sz w:val="28"/>
          <w:szCs w:val="28"/>
          <w:lang w:eastAsia="ru-RU"/>
        </w:rPr>
        <w:t>I</w:t>
      </w:r>
      <w:proofErr w:type="gramEnd"/>
      <w:r w:rsidRPr="00692C2F">
        <w:rPr>
          <w:rFonts w:ascii="Times New Roman" w:eastAsia="Times New Roman" w:hAnsi="Times New Roman" w:cs="Times New Roman"/>
          <w:sz w:val="28"/>
          <w:szCs w:val="28"/>
          <w:lang w:eastAsia="ru-RU"/>
        </w:rPr>
        <w:t>, 2004</w:t>
      </w:r>
    </w:p>
    <w:p w:rsidR="005E14E9" w:rsidRPr="0059654F" w:rsidRDefault="005E14E9" w:rsidP="0059654F">
      <w:pPr>
        <w:spacing w:after="0" w:line="240" w:lineRule="auto"/>
        <w:ind w:left="-993" w:firstLine="993"/>
        <w:rPr>
          <w:rFonts w:ascii="Times New Roman" w:eastAsia="Times New Roman" w:hAnsi="Times New Roman" w:cs="Times New Roman"/>
          <w:sz w:val="28"/>
          <w:szCs w:val="28"/>
          <w:lang w:eastAsia="ru-RU"/>
        </w:rPr>
      </w:pPr>
      <w:bookmarkStart w:id="0" w:name="_GoBack"/>
      <w:bookmarkEnd w:id="0"/>
    </w:p>
    <w:sectPr w:rsidR="005E14E9" w:rsidRPr="0059654F" w:rsidSect="0059654F">
      <w:pgSz w:w="11906" w:h="16838"/>
      <w:pgMar w:top="568" w:right="566"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27F25"/>
    <w:multiLevelType w:val="multilevel"/>
    <w:tmpl w:val="184E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4B0E2B"/>
    <w:multiLevelType w:val="multilevel"/>
    <w:tmpl w:val="730C2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14E9"/>
    <w:rsid w:val="0059654F"/>
    <w:rsid w:val="005E14E9"/>
    <w:rsid w:val="00601A27"/>
    <w:rsid w:val="00CC0BE6"/>
    <w:rsid w:val="00D301D3"/>
    <w:rsid w:val="00D67E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4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4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788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2460</Words>
  <Characters>14023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PainteR</cp:lastModifiedBy>
  <cp:revision>3</cp:revision>
  <dcterms:created xsi:type="dcterms:W3CDTF">2017-05-10T12:25:00Z</dcterms:created>
  <dcterms:modified xsi:type="dcterms:W3CDTF">2017-05-29T10:38:00Z</dcterms:modified>
</cp:coreProperties>
</file>